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380 vom 23. Juni 1993</w:t>
      </w:r>
    </w:p>
    <w:p>
      <w:r>
        <w:t>Bundesgericht (BGE), 1993-06-23, DE</w:t>
      </w:r>
    </w:p>
    <w:p>
      <w:r>
        <w:rPr>
          <w:b/>
        </w:rPr>
        <w:t xml:space="preserve">Quelle: </w:t>
      </w:r>
      <w:r>
        <w:t>https://mcp.opencaselaw.ch/entscheid/bge_119 IB 380</w:t>
      </w:r>
    </w:p>
    <w:p>
      <w:r>
        <w:t>FR: BGE 119 IB 380 du 23 juin 1993</w:t>
      </w:r>
    </w:p>
    <w:p>
      <w:r>
        <w:t>IT: BGE 119 IB 380 del 23 giugno 1993</w:t>
      </w:r>
    </w:p>
    <w:p>
      <w:pPr>
        <w:pStyle w:val="Heading2"/>
      </w:pPr>
      <w:r>
        <w:t>Regeste</w:t>
      </w:r>
    </w:p>
    <w:p>
      <w:r>
        <w:t>Regeste Art. 97 ff. OG, Art. 11 USG und Art. 22ter BV; Sanierungsvorhaben für Erschliessungsstrasse und Parkierungsanlage; Bestandesgarantie. 1. Zulässigkeit der Verwaltungsgerichtsbeschwerde im Bereich des Umweltschutzrechts (E. 1). 2. Die geplante Verlegung einer Schule hat keine Auswirkungen auf die Besitzstandsgarantie (E. 2). 3. Keine Anhaltspunkte, dass das Sanierungsvorhaben zu einer Grenzwertüberschreitung führt (E. 3d). Emissionsbegrenzung im Sinne von Art. 11 Abs. 2 USG (E. 3e).</w:t>
      </w:r>
    </w:p>
    <w:p>
      <w:pPr>
        <w:pStyle w:val="Heading2"/>
      </w:pPr>
      <w:r>
        <w:t>Erwägungen</w:t>
      </w:r>
    </w:p>
    <w:p>
      <w:r>
        <w:rPr>
          <w:b/>
        </w:rPr>
        <w:t>E. 1</w:t>
      </w:r>
    </w:p>
    <w:p>
      <w:r>
        <w:t>a) Der Beschwerdeführer hat gegen den letztinstanzlichen kantonalen Entscheid des Regierungsrats des Kantons Appenzell A.Rh., der in Anwendung des kantonalen Gesetzes über die Einführung des Bundesgesetzes über die Raumplanung (EG zum RPG) vom 28. April 1985, des kommunalen Baurechts und des eidgenössischen Umweltschutzrechts erging, sowohl Verwaltungsgerichtsbeschwerde als auch staatsrechtliche Beschwerde eingereicht. Er hat beide Rechtsmittel in einer Beschwerdeschrift erhoben, was zulässig ist ( BGE 118 Ib 417 E. 1a). Welches Rechtsmittel zulässig ist, ob im vorliegenden Fall beide Rechtsmittel ergriffen werden können und in welchem Umfang auf ein zulässiges Rechtsmittel eingetreten werden kann, prüft das Bundesgericht von Amtes wegen und mit freier Kognition ( BGE 118 Ia 112 E. 1, BGE 118 Ib 49 f. E. 1, 196 E. 1, 417 E. 1). Entsprechend der subsidiären Natur der staatsrechtlichen Beschwerde ( Art. 84 Abs. 2 OG ) ist zunächst zu prüfen, ob die Verwaltungsgerichtsbeschwerde offensteht. b) Nach Art. 97 OG in Verbindung mit Art. 5 VwVG ist die Verwaltungsgerichtsbeschwerde zulässig gegen Verfügungen, die sich auf öffentliches Recht des Bundes stützen oder hätte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118 Ib 234 E. 1a, 417 E. 1b, je mit Hinweisen). Zu dem im Rahmen der Verwaltungsgerichtsbeschwerde überprüfbaren Bundesrecht gehört auch das Bundesverfassungsrecht, soweit die Rüge eine Angelegenheit betrifft, die in die Sachzuständigkeit der eidgenössischen Verwaltungsrechtspflegeinstanz fällt ( BGE 118 Ib 11 E. 1a mit Hinweis). BGE 119 Ib 380 S. 383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118 Ib 11 E. 1a, 234 E. 1b, je mit Hinweisen). c) Im vorliegenden Fall macht der Beschwerdeführer geltend, der angefochtene Entscheid des Regierungsrats verletze umweltschutzrechtliche Bestimmungen des Bundes, so namentlich Art. 11 Abs. 2 USG . Zu dieser Rüge ist der Beschwerdeführer als Eigentümer zweier Parzellen, die an die Liegenschaften der Beschwerdegegnerin anstossen, im Rahmen der Verwaltungsgerichtsbeschwerde legitimiert ( Art. 103 lit. a OG ). Der Beschwerdeführer ist ebenfalls legitimiert, mit Verwaltungsgerichtsbeschwerde eine Verletzung von Art. 4 BV (Verweigerung des rechtlichen Gehörs und willkürliche Rechtsanwendung) geltend zu machen. Die vom Beschwerdeführer ebenfalls als verletzt gerügten Art. 75 und 76 EG zum RPG weisen zwar den geforderten engen Sachzusammenhang zu den in Frage stehenden umweltschutzrechtlichen Bestimmungen des Bundes auf, um im Rahmen der Verwaltungsgerichtsbeschwerde überprüft zu werden. Indessen ist nicht ersichtlich und auch nicht dargetan, inwiefern diese kantonalen Vorschriften die in Betracht fallenden bundesrechtlichen Umweltschutzbestimmungen ergänzen oder - soweit erlaubt - verschärfen. Diesen Bestimmungen kommt somit keine selbständige Bedeutung zu (vgl. BGE 117 Ib 147 E. 2d/cc, BGE 115 Ib 456 E. 1c). d) Der vom Beschwerdeführer ferner als verletzt gerügte Art. 4 EG zum RPG (Bestandesgarantie) weist diesen engen Sachzusammenhang nicht auf. Diese Rüge ist deshalb mit staatsrechtlicher Beschwerde geltend zu machen. Als Eigentümer einer Parzelle (Nr. 1019) im Quartierplangebiet Sonnenberg ist der Beschwerdeführer gemäss Art. 88 OG legitimiert, eine Verletzung von Art. 4 EG zum RPG geltend zu machen. Gleich verhält es sich mit der Rüge, der angefochtene Entscheid verletze im Zusammenhang mit der Bestandesgarantie "die Beweisregeln von Art. 8 ZGB ", womit sich der Beschwerdeführer auf den auch im kantonalen Verwaltungsrecht geltenden BGE 119 Ib 380 S. 384 Grundsatz beruft, dass derjenige das Vorhandensein einer Tatsache zu beweisen hat, der aus ihr Rechte ableitet (vgl. HANS-JÜRG SCHÄR, Gesetz über das Verwaltungsverfahren des Kantons Appenzell A.Rh. vom 28. April 1985, N. 21 zu Art. 6, N. 3 zu Art. 10). e) Die Akten enthalten alle erheblichen Sachverhaltselemente, weshalb sich die vom Beschwerdeführer beantragten Beweismassnahmen erübrigen.</w:t>
      </w:r>
    </w:p>
    <w:p>
      <w:r>
        <w:rPr>
          <w:b/>
        </w:rPr>
        <w:t>E. 2</w:t>
      </w:r>
    </w:p>
    <w:p>
      <w:r>
        <w:t>a) Im vorliegenden Fall geht es in der Hauptsache um die Bewilligung eines Sanierungsvorhabens, welches die Lösung des Erschliessungs- und Parkplatzproblems im Quartierplangebiet Sonnenberg bezweckt. Der Gemeinderat Walzenhausen bewilligte am 15. Juli 1991 den Bau eines Autounterstandes mit 36-37 Plätzen sowie einer Zufahrtsstrasse. Wie der Regierungsrat im angefochtenen Entscheid verdeutlicht, sind neun Parkplätze für die von der Beschwerdegegnerin neu geplanten drei Doppeleinfamilienhäuser erforderlich. Hievon sind sechs Plätze im Unterstand projektiert; die übrigen 30-31 Plätze sollen der bestehenden Privatschule dienen. b) Der Beschwerdeführer weist in seiner Beschwerde darauf hin, dass der Betrieb der Privatschule als solcher dem Zweck der Ein- und Zweifamilienhauszone widerspricht. Dies trifft offenkundig zu. Der Regierungsrat stellte in seinem Rekursentscheid vom 5. April 1983 betreffend den Quartierplan Sonnenberg ausdrücklich fest, dass das Schulungszentrum lediglich in der Wohn- und Gewerbezone als zonenkonform zu bezeichnen wäre. Indessen müsse der Besitzstand aufgrund der Eigentumsgarantie gewahrt bleiben. Demgemäss lasse die Gemeindebauordnung den Weiterbestand der Schule und eine angemessene Erweiterung zu; die Ausbaumöglichkeiten seien aber insoweit gleichzeitig begrenzt. Der Regierungsrat schrieb der Gemeinde vor, die Sonderbauvorschriften dahin zu ändern, dass "die bauliche Erweiterung der bestehenden Privatschule (nur) im Rahmen der Erweiterungsgarantie" gewährleistet sei. c) Im vorliegenden Baubewilligungsverfahren machte der Beschwerdeführer geltend, die Beschwerdegegnerin werde ihr Schulungszentrum von Walzenhausen nach Kehrsatz verlegen, womit die Berufung auf die Bestandesgarantie entfalle. Nach Auffassung des Regierungsrats kommt eine Betriebsverlegung grundsätzlich einem Verzicht auf die Bestandesgarantie gleich. Eine Betriebsverlegung des Schulungszentrums von Walzenhausen nach Kehrsatz sei zwar offensichtlich. Indessen sei ein genauer Zeitpunkt dieser Betriebsverlegung angesichts der frühen Planungsphase und möglicher Verzögerungen nicht bestimmbar. Deshalb sei von der tatsächlichen BGE 119 Ib 380 S. 385 Situation, wie sie sich bei der Entscheidfällung präsentiere, auszugehen. Der Beschwerdeführer wirft dem Regierungsrat vor, er habe den rechtserheblichen Sachverhalt unvollständig festgestellt und den Anspruch auf rechtliches Gehör verletzt, indem er ohne nähere Begründung davon absah, dem entsprechenden Beweisantrag des Beschwerdeführers auf Edition der Unterlagen des Baubewilligungsverfahrens in Kehrsatz stattzugeben. d) Entgegen der Auffassung des Beschwerdeführers und des Regierungsrats hat die geplante Verlegung der Privatschule keine Auswirkungen auf die Besitzstandsgarantie. Die Nutzung der bestehenden Bauten könnte auch nach einem Verkauf im Rahmen der bisherigen Zweckbestimmung vom neuen Eigentümer weitergeführt werden (vgl. ERICH ZIMMERLIN, Kommentar zum Baugesetz des Kantons Aargau, zweite Auflage, Aarau 1985, S. 566, N. 4c zu § 224). Die vom Regierungsrat in seinem Beschluss angeführten Zitate stehen diesem Schluss nicht entgegen, sondern sind vielmehr dahingehend zu verstehen, dass sich die Privatschule nach einer allfälligen Verlegung am neuen Standort nicht mehr auf die Besitzstandsgarantie berufen kann (vgl. ERICH ZIMMERLIN, a.a.O., S. 320, N. 3 zu § 135 und S. 566 f., N. 4d zu § 224; ALDO ZAUGG, Kommentar zum Baugesetz des Kantons Bern vom 9. Juni 1985, Bern 1987, S. 67 f., N. 2 zu Art. 3). Eine Verlegung der Privatschule bewirkt somit entgegen den Ansichten des Regierungsrats und des Beschwerdeführers keinen Verzicht auf die Besitzstandsgarantie. Die vom Beschwerdeführer im Zusammenhang mit dieser Verlegung beantragten Beweismassnahmen erweisen sich als unerheblich, weshalb eine Verletzung des Anspruchs auf rechtliches Gehör wie auch der geltend gemachte Verstoss gegen die Regeln über die Beweislastverteilung zu verneinen ist. Aus den gleichen Gründen liegt insoweit auch keine unrichtige oder unvollständige Feststellung des rechtserheblichen Sachverhalts vor ( Art. 104 lit. b OG ). e) Im Zusammenhang mit der Frage der Betriebsverlegung wirft der Beschwerdeführer dem Regierungsrat ausserdem vor, er habe Art. 4 EG zum RPG (Bestandesgarantie) willkürlich angewendet. Das Bundesgericht hebt jedoch einen angefochtenen Entscheid nicht auf, wenn sich nur die Begründung als unhaltbar erweist. Die Aufhebung eines Entscheids rechtfertigt sich vielmehr nur, wenn dieser auch im Ergebnis verfassungswidrig ist ( BGE 117 Ia 135 E. 2c mit Hinweisen). Der Regierungsrat ging in seinem angefochtenen Beschluss zumindest im Ergebnis richtigerweise davon aus, dass die BGE 119 Ib 380 S. 386 Verlegungsabsichten der Beschwerdegegnerin keinen Einfluss auf die Bestandesgarantie bewirken. Die Willkürrüge erweist sich insoweit als unbegründet und ist abzuweisen. Ferner behauptet der Beschwerdeführer eine Verletzung von Art. 22ter BV , weil der Beschwerdegegnerin trotz der vorgesehenen Betriebsverlegung die Bestandesgarantie eingeräumt wurde. Da, wie ausgeführt, die Verlegungsabsichten keinen Einfluss auf die Bestandesgarantie haben, erweist sich auch diese Rüge als unbegründet.</w:t>
      </w:r>
    </w:p>
    <w:p>
      <w:r>
        <w:rPr>
          <w:b/>
        </w:rPr>
        <w:t>E. 3</w:t>
      </w:r>
    </w:p>
    <w:p>
      <w:r>
        <w:t>a) Das Bundesgesetz über den Umweltschutz soll unter anderem Menschen gegen schädliche und lästige Einwirkungen schützen ( Art. 1 Abs. 1 USG ). Das geltende Recht sieht die Begrenzung schädlicher oder lästiger Einwirkungen wie etwa Luftverunreinigung oder Lärm an der Quelle nach einem zweistufigen Konzept vor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BGE 118 Ib 26 E. 5b, 234 E. 2a). Für die Beurteilung dessen, was als schädlich und lästig gilt und somit zu verschärften Emissionsbegrenzungen führt, ist auf die Grenzwerte abzustellen, die der Bundesrat durch Verordnung festlegt ( Art. 13 Abs. 1 USG ). b) Der Regierungsrat führte in seinem angefochtenen Beschluss aus, dass die fraglichen Grundstücke nach dem Bebauungsplan in der Ein- und Zweifamilienhaus-Reservezone lägen. Die zuständige kantonale Behörde hätte für dieses Gebiet die Empfindlichkeitsstufe II gemäss Art. 43 Abs. 1 lit. b der Lärmschutz-Verordnung vom 15. Dezember 1986 (LSV) festzusetzen. Die für die Empfindlichkeitsstufe II geltenden Immissionsgrenzwerte von 60 dB (A) während des Tages und 50 dB (A) während der Nacht würden durch das Zu- und Wegfahren einzelner Automobile von der Parkierungsanlage nicht erreicht werden, zumal sich die Situation durch die neue Linienführung der Zufahrtsstrasse mit geringeren Steigungsverhältnissen verbessern werde. Das Bauvorhaben stehe auch im Einklang mit der Luftreinhalte-Verordnung (LRV), weil man der vorsorglichen Emissionsbegrenzung bereits im Rahmen des Quartierplans Rechnung getragen habe. BGE 119 Ib 380 S. 387 c) Es stellt sich die Frage, ob nicht die meisten umweltschutzrechtlichen Fragen bereits weitgehend in den Regierungsratsbeschlüssen vom 5. April 1983 (Rekursentscheid betreffend Quartierplan Sonnenberg) und vom 29. Mai 1984 (Genehmigungsentscheid betreffend Quartierplan Sonnenberg) entschieden worden sind. Dies hätte zur Folge, dass im vorliegenden Baubewilligungsverfahren diese Fragen grundsätzlich nicht mehr überprüft werden könnten (vgl. BGE 116 Ia 207 E. 3b, BGE 115 Ib 335 E. 4c). Da indessen aufgrund der nachfolgenden Erwägungen der angefochtene Regierungsratsbeschluss weder umweltschutzrechtlich noch verfassungsrechtlich zu beanstanden ist, kann diese Frage offengelassen werden. d) Der Quartierplan verwies die Festsetzung der Anzahl der erforderlichen Abstellplätze ins Baubewilligungsverfahren; er bestimmte indessen, dass 50% der Autoabstellplätze unterirdisch zu erstellen seien. Bei der Überprüfung der erforderlichen Parkplatzzahl ist, wie der Regierungsrat richtig festgestellt hat, von der heutigen Nutzung auszugehen, die durch Art. 4 EG zum RPG (Bestandesgarantie) geschützt ist (vgl. vorangehende E. 2d und e). Dass für den Betrieb der Privatschule 30 Abstellplätze notwendig sind, ist unbestritten. Auch kann nicht gesagt werden, dass die für die drei Doppeleinfamilienhäuser vorgesehenen neun Parkplätze, wovon sechs Plätze in der hier umstrittenen Parkierungsanlage geplant sind, nicht erforderlich sind. Der Parkplatzbedarf ist genügend ausgewiesen. Mit einer Reduktion der Parkplatzzahl könnte die heutige unbefriedigende Parkplatzsituation nicht gelöst und dadurch der Zweck des Quartierplans Sonnenberg, nämlich unter anderem die zweckmässige Erschliessung des Gebiets Sonnenberg, nicht erfüllt werden. Mit dem vorliegenden Sanierungsvorhaben soll die gegenwärtig unbefriedigende Erschliessungssituation verbessert werden. Mit Blick auf die Lärm- und Luftverunreinigungsproblematik erscheint - isoliert betrachtet - die vorgesehene Parkplatzzahl als beachtlich. Indessen ist insoweit zu berücksichtigen, dass die für die Privatschule vorgesehenen Parkplätze nicht kurzfristig, mit entsprechend häufigen Fahrzeugbewegungen, benutzt werden. Der grösste Teil der die Privatschule besuchenden Schüler ist in dieser selbst untergebracht. Dies hat zur Folge, dass die Parkplätze während längeren Zeitabschnitten belegt werden. Die von diesen Parkplätzen ausgehende Belastung ist daher als klein zu bezeichnen. Es ist festzustellen, dass keine Anhaltspunkte vorliegen, wonach die geplante Erschliessungsstrasse und die Parkierungsanlage in bezug auf den Lärm oder die Luftverunreinigung eine Grenzwertüberschreitung BGE 119 Ib 380 S. 388 bewirken werden. Es ist, wie der Regierungsrat ausgeführt hat, davon auszugehen, dass die heutige Situation durch das umstrittene Projekt verbessert wird. e) Damit bleibt einzig noch zu prüfen, ob der Regierungsrat, wie der Beschwerdeführer behauptet, die Emissionsbegrenzung im Sinne von Art. 11 Abs. 2 USG nicht durchgesetzt habe. Der Beschwerdeführer macht dabei geltend, er habe im Rekursverfahren verlangt, das Bauvorhaben als Tiefgarage zu realisieren oder zumindest eine gesamthafte Überdeckung beim westlichen Teil des Autounterstandes vorzunehmen. Darauf sei der Regierungsrat jedoch nicht eingegangen. Nach Art. 12 der zum Quartierplan Sonnenberg gehörenden Sonderbauvorschriften sind mindestens 50% der Autoabstellplätze unterirdisch anzuordnen. Mit der Anwendung dieser Bestimmung im vorliegenden Baubewilligungsverfahren ist der Regierungsrat der Pflicht zur Emissionsbegrenzung im Sinne von Art. 11 Abs. 2 USG nachgekommen. Da bei der Anwendung dieser Bestimmung das Verhältnismässigkeitsprinzip auch in finanzieller Hinsicht zu beachten ist, ist es angesichts der zu erwartenden Emissionen nicht zu beanstanden, dass der Regierungsrat keine weitergehenden Bedingungen und Auflagen im Sinne der Vorschläge des Beschwerdeführers verlangt hat. Der Regierungsrat hat somit kein Bundesumweltschutzrecht verletzt, als er die Baubewilligung für die projektierte Parkplatzanlage und die Erschliessungsstrasse bestätigte. Auch wenn der Regierungsrat die Vorschläge des Beschwerdeführers (Tiefgarage, weitergehende Überdeckung) nicht ausdrücklich abgelehnt hat, geht aus seiner Begründung ohne weiteres hervor, dass er weitergehende Bedingungen und Auflagen als unverhältnismässig betrachte. Auf die in diesem Zusammenhang vom Beschwerdeführer erwähnte Aktennotiz der Baubewilligungskommission Walzenhausen vom 10. März 1986, wonach die Beschwerdegegnerin einer Überdeckung des westlichen Teils des Autounterstandes zugestimmt haben soll, musste der Regierungsrat nicht weiter eingehen, da diese Aktennotiz nicht im vorliegenden Baubewilligungsverfahren erstellt wurde. Aufgrund der gesamten Umstände ist es auch nicht zu beanstanden, dass der Regierungsrat auf die Einholung der vom Beschwerdeführer beantragten Expertise betreffend Emissionsbegrenzung verzichtet hat. Der Regierungsrat durfte davon ausgehen, dass sich eine solche nicht als nötig erweise. Eine Verletzung des Anspruchs auf rechtliches Gehör und eine unrichtige oder unvollständige BGE 119 Ib 380 S. 389 Feststellung des rechtserheblichen Sachverhalts ist auch insoweit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